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F3532" w:rsidP="006324AF">
      <w:pPr>
        <w:spacing w:after="0" w:line="480" w:lineRule="auto"/>
        <w:contextualSpacing/>
        <w:jc w:val="center"/>
        <w:rPr>
          <w:rFonts w:ascii="Times New Roman" w:hAnsi="Times New Roman" w:cs="Times New Roman"/>
          <w:b/>
          <w:sz w:val="24"/>
          <w:szCs w:val="24"/>
        </w:rPr>
      </w:pPr>
    </w:p>
    <w:p w:rsidR="001F3532" w:rsidP="006324AF">
      <w:pPr>
        <w:spacing w:after="0" w:line="480" w:lineRule="auto"/>
        <w:contextualSpacing/>
        <w:jc w:val="center"/>
        <w:rPr>
          <w:rFonts w:ascii="Times New Roman" w:hAnsi="Times New Roman" w:cs="Times New Roman"/>
          <w:b/>
          <w:sz w:val="24"/>
          <w:szCs w:val="24"/>
        </w:rPr>
      </w:pPr>
    </w:p>
    <w:p w:rsidR="001F3532" w:rsidP="006324AF">
      <w:pPr>
        <w:spacing w:after="0" w:line="480" w:lineRule="auto"/>
        <w:contextualSpacing/>
        <w:jc w:val="center"/>
        <w:rPr>
          <w:rFonts w:ascii="Times New Roman" w:hAnsi="Times New Roman" w:cs="Times New Roman"/>
          <w:b/>
          <w:sz w:val="24"/>
          <w:szCs w:val="24"/>
        </w:rPr>
      </w:pPr>
    </w:p>
    <w:p w:rsidR="001F3532" w:rsidP="006324AF">
      <w:pPr>
        <w:spacing w:after="0" w:line="480" w:lineRule="auto"/>
        <w:contextualSpacing/>
        <w:jc w:val="center"/>
        <w:rPr>
          <w:rFonts w:ascii="Times New Roman" w:hAnsi="Times New Roman" w:cs="Times New Roman"/>
          <w:b/>
          <w:sz w:val="24"/>
          <w:szCs w:val="24"/>
        </w:rPr>
      </w:pPr>
    </w:p>
    <w:p w:rsidR="001F3532" w:rsidP="006324AF">
      <w:pPr>
        <w:spacing w:after="0" w:line="480" w:lineRule="auto"/>
        <w:contextualSpacing/>
        <w:jc w:val="center"/>
        <w:rPr>
          <w:rFonts w:ascii="Times New Roman" w:hAnsi="Times New Roman" w:cs="Times New Roman"/>
          <w:b/>
          <w:sz w:val="24"/>
          <w:szCs w:val="24"/>
        </w:rPr>
      </w:pPr>
    </w:p>
    <w:p w:rsidR="001F3532" w:rsidP="006324AF">
      <w:pPr>
        <w:spacing w:after="0" w:line="480" w:lineRule="auto"/>
        <w:contextualSpacing/>
        <w:jc w:val="center"/>
        <w:rPr>
          <w:rFonts w:ascii="Times New Roman" w:hAnsi="Times New Roman" w:cs="Times New Roman"/>
          <w:b/>
          <w:sz w:val="24"/>
          <w:szCs w:val="24"/>
        </w:rPr>
      </w:pPr>
    </w:p>
    <w:p w:rsidR="001F3532" w:rsidRPr="001F3532" w:rsidP="001F3532">
      <w:pPr>
        <w:spacing w:after="0" w:line="480" w:lineRule="auto"/>
        <w:contextualSpacing/>
        <w:jc w:val="center"/>
        <w:rPr>
          <w:rFonts w:ascii="Times New Roman" w:hAnsi="Times New Roman" w:cs="Times New Roman"/>
          <w:b/>
          <w:sz w:val="24"/>
          <w:szCs w:val="24"/>
        </w:rPr>
      </w:pPr>
      <w:r w:rsidRPr="001F3532">
        <w:rPr>
          <w:rFonts w:ascii="Times New Roman" w:hAnsi="Times New Roman" w:cs="Times New Roman"/>
          <w:b/>
          <w:sz w:val="24"/>
          <w:szCs w:val="24"/>
        </w:rPr>
        <w:t>Healthcare Insurance Provider’s Mitigation of Risk</w:t>
      </w:r>
    </w:p>
    <w:p w:rsidR="001F3532" w:rsidRPr="001F3532" w:rsidP="006324AF">
      <w:pPr>
        <w:spacing w:after="0" w:line="480" w:lineRule="auto"/>
        <w:contextualSpacing/>
        <w:jc w:val="center"/>
        <w:rPr>
          <w:rFonts w:ascii="Times New Roman" w:hAnsi="Times New Roman" w:cs="Times New Roman"/>
          <w:sz w:val="24"/>
          <w:szCs w:val="24"/>
        </w:rPr>
      </w:pPr>
    </w:p>
    <w:p w:rsidR="001F3532" w:rsidRPr="001F3532" w:rsidP="006324AF">
      <w:pPr>
        <w:spacing w:after="0" w:line="480" w:lineRule="auto"/>
        <w:contextualSpacing/>
        <w:jc w:val="center"/>
        <w:rPr>
          <w:rFonts w:ascii="Times New Roman" w:hAnsi="Times New Roman" w:cs="Times New Roman"/>
          <w:sz w:val="24"/>
          <w:szCs w:val="24"/>
        </w:rPr>
      </w:pPr>
      <w:r w:rsidRPr="001F3532">
        <w:rPr>
          <w:rFonts w:ascii="Times New Roman" w:hAnsi="Times New Roman" w:cs="Times New Roman"/>
          <w:sz w:val="24"/>
          <w:szCs w:val="24"/>
        </w:rPr>
        <w:t>Name:</w:t>
      </w:r>
    </w:p>
    <w:p w:rsidR="001F3532" w:rsidRPr="001F3532" w:rsidP="006324AF">
      <w:pPr>
        <w:spacing w:after="0" w:line="480" w:lineRule="auto"/>
        <w:contextualSpacing/>
        <w:jc w:val="center"/>
        <w:rPr>
          <w:rFonts w:ascii="Times New Roman" w:hAnsi="Times New Roman" w:cs="Times New Roman"/>
          <w:sz w:val="24"/>
          <w:szCs w:val="24"/>
        </w:rPr>
      </w:pPr>
      <w:r w:rsidRPr="001F3532">
        <w:rPr>
          <w:rFonts w:ascii="Times New Roman" w:hAnsi="Times New Roman" w:cs="Times New Roman"/>
          <w:sz w:val="24"/>
          <w:szCs w:val="24"/>
        </w:rPr>
        <w:t>Institution:</w:t>
      </w:r>
    </w:p>
    <w:p w:rsidR="001F3532" w:rsidRPr="001F3532" w:rsidP="006324AF">
      <w:pPr>
        <w:spacing w:after="0" w:line="480" w:lineRule="auto"/>
        <w:contextualSpacing/>
        <w:jc w:val="center"/>
        <w:rPr>
          <w:rFonts w:ascii="Times New Roman" w:hAnsi="Times New Roman" w:cs="Times New Roman"/>
          <w:sz w:val="24"/>
          <w:szCs w:val="24"/>
        </w:rPr>
      </w:pPr>
      <w:r w:rsidRPr="001F3532">
        <w:rPr>
          <w:rFonts w:ascii="Times New Roman" w:hAnsi="Times New Roman" w:cs="Times New Roman"/>
          <w:sz w:val="24"/>
          <w:szCs w:val="24"/>
        </w:rPr>
        <w:t>Course:</w:t>
      </w:r>
    </w:p>
    <w:p w:rsidR="001F3532" w:rsidRPr="001F3532" w:rsidP="006324AF">
      <w:pPr>
        <w:spacing w:after="0" w:line="480" w:lineRule="auto"/>
        <w:contextualSpacing/>
        <w:jc w:val="center"/>
        <w:rPr>
          <w:rFonts w:ascii="Times New Roman" w:hAnsi="Times New Roman" w:cs="Times New Roman"/>
          <w:sz w:val="24"/>
          <w:szCs w:val="24"/>
        </w:rPr>
      </w:pPr>
      <w:r w:rsidRPr="001F3532">
        <w:rPr>
          <w:rFonts w:ascii="Times New Roman" w:hAnsi="Times New Roman" w:cs="Times New Roman"/>
          <w:sz w:val="24"/>
          <w:szCs w:val="24"/>
        </w:rPr>
        <w:t>Instructor:</w:t>
      </w:r>
    </w:p>
    <w:p w:rsidR="001F3532" w:rsidP="006324AF">
      <w:pPr>
        <w:spacing w:after="0" w:line="480" w:lineRule="auto"/>
        <w:contextualSpacing/>
        <w:jc w:val="center"/>
        <w:rPr>
          <w:rFonts w:ascii="Times New Roman" w:hAnsi="Times New Roman" w:cs="Times New Roman"/>
          <w:sz w:val="24"/>
          <w:szCs w:val="24"/>
        </w:rPr>
      </w:pPr>
      <w:r w:rsidRPr="001F3532">
        <w:rPr>
          <w:rFonts w:ascii="Times New Roman" w:hAnsi="Times New Roman" w:cs="Times New Roman"/>
          <w:sz w:val="24"/>
          <w:szCs w:val="24"/>
        </w:rPr>
        <w:t>Date:</w:t>
      </w:r>
    </w:p>
    <w:p w:rsidR="001F3532" w:rsidP="006324AF">
      <w:pPr>
        <w:spacing w:after="0" w:line="480" w:lineRule="auto"/>
        <w:contextualSpacing/>
        <w:jc w:val="center"/>
        <w:rPr>
          <w:rFonts w:ascii="Times New Roman" w:hAnsi="Times New Roman" w:cs="Times New Roman"/>
          <w:b/>
          <w:sz w:val="24"/>
          <w:szCs w:val="24"/>
        </w:rPr>
      </w:pPr>
    </w:p>
    <w:p w:rsidR="001F3532" w:rsidP="006324AF">
      <w:pPr>
        <w:spacing w:after="0" w:line="480" w:lineRule="auto"/>
        <w:contextualSpacing/>
        <w:jc w:val="center"/>
        <w:rPr>
          <w:rFonts w:ascii="Times New Roman" w:hAnsi="Times New Roman" w:cs="Times New Roman"/>
          <w:b/>
          <w:sz w:val="24"/>
          <w:szCs w:val="24"/>
        </w:rPr>
      </w:pPr>
    </w:p>
    <w:p w:rsidR="001F3532" w:rsidP="006324AF">
      <w:pPr>
        <w:spacing w:after="0" w:line="480" w:lineRule="auto"/>
        <w:contextualSpacing/>
        <w:jc w:val="center"/>
        <w:rPr>
          <w:rFonts w:ascii="Times New Roman" w:hAnsi="Times New Roman" w:cs="Times New Roman"/>
          <w:b/>
          <w:sz w:val="24"/>
          <w:szCs w:val="24"/>
        </w:rPr>
      </w:pPr>
    </w:p>
    <w:p w:rsidR="001F3532" w:rsidP="006324AF">
      <w:pPr>
        <w:spacing w:after="0" w:line="480" w:lineRule="auto"/>
        <w:contextualSpacing/>
        <w:jc w:val="center"/>
        <w:rPr>
          <w:rFonts w:ascii="Times New Roman" w:hAnsi="Times New Roman" w:cs="Times New Roman"/>
          <w:b/>
          <w:sz w:val="24"/>
          <w:szCs w:val="24"/>
        </w:rPr>
      </w:pPr>
    </w:p>
    <w:p w:rsidR="001F3532" w:rsidP="006324AF">
      <w:pPr>
        <w:spacing w:after="0" w:line="480" w:lineRule="auto"/>
        <w:contextualSpacing/>
        <w:jc w:val="center"/>
        <w:rPr>
          <w:rFonts w:ascii="Times New Roman" w:hAnsi="Times New Roman" w:cs="Times New Roman"/>
          <w:b/>
          <w:sz w:val="24"/>
          <w:szCs w:val="24"/>
        </w:rPr>
      </w:pPr>
    </w:p>
    <w:p w:rsidR="001F3532" w:rsidP="006324AF">
      <w:pPr>
        <w:spacing w:after="0" w:line="480" w:lineRule="auto"/>
        <w:contextualSpacing/>
        <w:jc w:val="center"/>
        <w:rPr>
          <w:rFonts w:ascii="Times New Roman" w:hAnsi="Times New Roman" w:cs="Times New Roman"/>
          <w:b/>
          <w:sz w:val="24"/>
          <w:szCs w:val="24"/>
        </w:rPr>
      </w:pPr>
    </w:p>
    <w:p w:rsidR="001F3532" w:rsidP="006324AF">
      <w:pPr>
        <w:spacing w:after="0" w:line="480" w:lineRule="auto"/>
        <w:contextualSpacing/>
        <w:jc w:val="center"/>
        <w:rPr>
          <w:rFonts w:ascii="Times New Roman" w:hAnsi="Times New Roman" w:cs="Times New Roman"/>
          <w:b/>
          <w:sz w:val="24"/>
          <w:szCs w:val="24"/>
        </w:rPr>
      </w:pPr>
    </w:p>
    <w:p w:rsidR="001F3532" w:rsidP="006324AF">
      <w:pPr>
        <w:spacing w:after="0" w:line="480" w:lineRule="auto"/>
        <w:contextualSpacing/>
        <w:jc w:val="center"/>
        <w:rPr>
          <w:rFonts w:ascii="Times New Roman" w:hAnsi="Times New Roman" w:cs="Times New Roman"/>
          <w:b/>
          <w:sz w:val="24"/>
          <w:szCs w:val="24"/>
        </w:rPr>
      </w:pPr>
    </w:p>
    <w:p w:rsidR="001F3532" w:rsidP="006324AF">
      <w:pPr>
        <w:spacing w:after="0" w:line="480" w:lineRule="auto"/>
        <w:contextualSpacing/>
        <w:jc w:val="center"/>
        <w:rPr>
          <w:rFonts w:ascii="Times New Roman" w:hAnsi="Times New Roman" w:cs="Times New Roman"/>
          <w:b/>
          <w:sz w:val="24"/>
          <w:szCs w:val="24"/>
        </w:rPr>
      </w:pPr>
    </w:p>
    <w:p w:rsidR="001F3532" w:rsidP="006324AF">
      <w:pPr>
        <w:spacing w:after="0" w:line="480" w:lineRule="auto"/>
        <w:contextualSpacing/>
        <w:jc w:val="center"/>
        <w:rPr>
          <w:rFonts w:ascii="Times New Roman" w:hAnsi="Times New Roman" w:cs="Times New Roman"/>
          <w:b/>
          <w:sz w:val="24"/>
          <w:szCs w:val="24"/>
        </w:rPr>
      </w:pPr>
    </w:p>
    <w:p w:rsidR="006324AF" w:rsidP="006324AF">
      <w:pPr>
        <w:spacing w:after="0" w:line="480" w:lineRule="auto"/>
        <w:contextualSpacing/>
        <w:jc w:val="center"/>
        <w:rPr>
          <w:rFonts w:ascii="Times New Roman" w:hAnsi="Times New Roman" w:cs="Times New Roman"/>
          <w:b/>
          <w:sz w:val="24"/>
          <w:szCs w:val="24"/>
        </w:rPr>
      </w:pPr>
      <w:r w:rsidRPr="006324AF">
        <w:rPr>
          <w:rFonts w:ascii="Times New Roman" w:hAnsi="Times New Roman" w:cs="Times New Roman"/>
          <w:b/>
          <w:sz w:val="24"/>
          <w:szCs w:val="24"/>
        </w:rPr>
        <w:t>Healthcare Insurance Provider’s Mitigation of Risk</w:t>
      </w:r>
    </w:p>
    <w:p w:rsidR="000C34AF" w:rsidRPr="006324AF" w:rsidP="006324AF">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Fee-for-service Method</w:t>
      </w:r>
    </w:p>
    <w:p w:rsidR="001168DB" w:rsidP="00FB0E3A">
      <w:pPr>
        <w:spacing w:after="0" w:line="480" w:lineRule="auto"/>
        <w:ind w:firstLine="720"/>
        <w:contextualSpacing/>
        <w:rPr>
          <w:rFonts w:ascii="Times New Roman" w:hAnsi="Times New Roman" w:cs="Times New Roman"/>
          <w:sz w:val="24"/>
          <w:szCs w:val="24"/>
        </w:rPr>
      </w:pPr>
      <w:r w:rsidRPr="00FB0E3A">
        <w:rPr>
          <w:rFonts w:ascii="Times New Roman" w:hAnsi="Times New Roman" w:cs="Times New Roman"/>
          <w:sz w:val="24"/>
          <w:szCs w:val="24"/>
        </w:rPr>
        <w:t xml:space="preserve">There is risk everywhere. That is why, in the medical field, much more focus is given on risk mitigation to maintain </w:t>
      </w:r>
      <w:r w:rsidR="00441297">
        <w:rPr>
          <w:rFonts w:ascii="Times New Roman" w:hAnsi="Times New Roman" w:cs="Times New Roman"/>
          <w:sz w:val="24"/>
          <w:szCs w:val="24"/>
        </w:rPr>
        <w:t>patient's, caregiver's safety and limit overspending on medical services</w:t>
      </w:r>
      <w:r w:rsidR="009162C8">
        <w:rPr>
          <w:rFonts w:ascii="Times New Roman" w:hAnsi="Times New Roman" w:cs="Times New Roman"/>
          <w:sz w:val="24"/>
          <w:szCs w:val="24"/>
        </w:rPr>
        <w:t xml:space="preserve"> on the insurer</w:t>
      </w:r>
      <w:r w:rsidRPr="00FB0E3A">
        <w:rPr>
          <w:rFonts w:ascii="Times New Roman" w:hAnsi="Times New Roman" w:cs="Times New Roman"/>
          <w:sz w:val="24"/>
          <w:szCs w:val="24"/>
        </w:rPr>
        <w:t xml:space="preserve">. It is worth noting, however, that risk cannot be eradicated, but </w:t>
      </w:r>
      <w:r w:rsidRPr="00FB0E3A">
        <w:rPr>
          <w:rFonts w:ascii="Times New Roman" w:hAnsi="Times New Roman" w:cs="Times New Roman"/>
          <w:sz w:val="24"/>
          <w:szCs w:val="24"/>
        </w:rPr>
        <w:t xml:space="preserve">any work that goes to reducing risk can be highly beneficial. </w:t>
      </w:r>
      <w:r w:rsidR="00AF09CB">
        <w:rPr>
          <w:rFonts w:ascii="Times New Roman" w:hAnsi="Times New Roman" w:cs="Times New Roman"/>
          <w:sz w:val="24"/>
          <w:szCs w:val="24"/>
        </w:rPr>
        <w:t>Dorn (2017) argues that t</w:t>
      </w:r>
      <w:r w:rsidRPr="00FB0E3A">
        <w:rPr>
          <w:rFonts w:ascii="Times New Roman" w:hAnsi="Times New Roman" w:cs="Times New Roman"/>
          <w:sz w:val="24"/>
          <w:szCs w:val="24"/>
        </w:rPr>
        <w:t>he issue is that the alternatives for mitigating risk in health insurance are limitless. Someone somewhere is doing it faster and more effectively.</w:t>
      </w:r>
      <w:r>
        <w:rPr>
          <w:rFonts w:ascii="Times New Roman" w:hAnsi="Times New Roman" w:cs="Times New Roman"/>
          <w:sz w:val="24"/>
          <w:szCs w:val="24"/>
        </w:rPr>
        <w:t xml:space="preserve"> Also, </w:t>
      </w:r>
      <w:r w:rsidR="006C1CA5">
        <w:rPr>
          <w:rFonts w:ascii="Times New Roman" w:hAnsi="Times New Roman" w:cs="Times New Roman"/>
          <w:sz w:val="24"/>
          <w:szCs w:val="24"/>
        </w:rPr>
        <w:t>f</w:t>
      </w:r>
      <w:r w:rsidRPr="00FB0E3A">
        <w:rPr>
          <w:rFonts w:ascii="Times New Roman" w:hAnsi="Times New Roman" w:cs="Times New Roman"/>
          <w:sz w:val="24"/>
          <w:szCs w:val="24"/>
        </w:rPr>
        <w:t xml:space="preserve">ees for </w:t>
      </w:r>
      <w:r w:rsidRPr="00FB0E3A">
        <w:rPr>
          <w:rFonts w:ascii="Times New Roman" w:hAnsi="Times New Roman" w:cs="Times New Roman"/>
          <w:sz w:val="24"/>
          <w:szCs w:val="24"/>
        </w:rPr>
        <w:t>medical services from insurance firms are based on deficit allocation, arbitrary loss compensation, risk sharing, and indemnities. Consequently, health insurance companies employ a variety of strategies to reduce risks and set premium costs.</w:t>
      </w:r>
      <w:r>
        <w:rPr>
          <w:rFonts w:ascii="Times New Roman" w:hAnsi="Times New Roman" w:cs="Times New Roman"/>
          <w:sz w:val="24"/>
          <w:szCs w:val="24"/>
        </w:rPr>
        <w:t xml:space="preserve"> This paper eva</w:t>
      </w:r>
      <w:r>
        <w:rPr>
          <w:rFonts w:ascii="Times New Roman" w:hAnsi="Times New Roman" w:cs="Times New Roman"/>
          <w:sz w:val="24"/>
          <w:szCs w:val="24"/>
        </w:rPr>
        <w:t>luates two global payment systems in healthcare insurance while focusing on the financial risk for the insurance providers</w:t>
      </w:r>
      <w:r w:rsidR="005120B8">
        <w:rPr>
          <w:rFonts w:ascii="Times New Roman" w:hAnsi="Times New Roman" w:cs="Times New Roman"/>
          <w:sz w:val="24"/>
          <w:szCs w:val="24"/>
        </w:rPr>
        <w:t xml:space="preserve"> and the pros and cons of each model</w:t>
      </w:r>
      <w:r>
        <w:rPr>
          <w:rFonts w:ascii="Times New Roman" w:hAnsi="Times New Roman" w:cs="Times New Roman"/>
          <w:sz w:val="24"/>
          <w:szCs w:val="24"/>
        </w:rPr>
        <w:t>.</w:t>
      </w:r>
    </w:p>
    <w:p w:rsidR="00B41D99" w:rsidP="00B41D9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One of the approaches used by healthcare insurance providers to mitigate their financial risks a</w:t>
      </w:r>
      <w:r>
        <w:rPr>
          <w:rFonts w:ascii="Times New Roman" w:hAnsi="Times New Roman" w:cs="Times New Roman"/>
          <w:sz w:val="24"/>
          <w:szCs w:val="24"/>
        </w:rPr>
        <w:t>nd set premium rates is the fee-for-service approach</w:t>
      </w:r>
      <w:r w:rsidR="001202A0">
        <w:rPr>
          <w:rFonts w:ascii="Times New Roman" w:hAnsi="Times New Roman" w:cs="Times New Roman"/>
          <w:sz w:val="24"/>
          <w:szCs w:val="24"/>
        </w:rPr>
        <w:t xml:space="preserve"> (FFS)</w:t>
      </w:r>
      <w:r>
        <w:rPr>
          <w:rFonts w:ascii="Times New Roman" w:hAnsi="Times New Roman" w:cs="Times New Roman"/>
          <w:sz w:val="24"/>
          <w:szCs w:val="24"/>
        </w:rPr>
        <w:t>.</w:t>
      </w:r>
      <w:r w:rsidRPr="005120B8">
        <w:t xml:space="preserve"> </w:t>
      </w:r>
      <w:r w:rsidRPr="005120B8">
        <w:rPr>
          <w:rFonts w:ascii="Times New Roman" w:hAnsi="Times New Roman" w:cs="Times New Roman"/>
          <w:sz w:val="24"/>
          <w:szCs w:val="24"/>
        </w:rPr>
        <w:t>This is an approach where a physician and other healthcare professional</w:t>
      </w:r>
      <w:r w:rsidR="004E7B23">
        <w:rPr>
          <w:rFonts w:ascii="Times New Roman" w:hAnsi="Times New Roman" w:cs="Times New Roman"/>
          <w:sz w:val="24"/>
          <w:szCs w:val="24"/>
        </w:rPr>
        <w:t>s are</w:t>
      </w:r>
      <w:r w:rsidRPr="005120B8">
        <w:rPr>
          <w:rFonts w:ascii="Times New Roman" w:hAnsi="Times New Roman" w:cs="Times New Roman"/>
          <w:sz w:val="24"/>
          <w:szCs w:val="24"/>
        </w:rPr>
        <w:t xml:space="preserve"> paid a premium for each specific service given, primarily benefiting healthcare experts for the capacity and level of s</w:t>
      </w:r>
      <w:r w:rsidRPr="005120B8">
        <w:rPr>
          <w:rFonts w:ascii="Times New Roman" w:hAnsi="Times New Roman" w:cs="Times New Roman"/>
          <w:sz w:val="24"/>
          <w:szCs w:val="24"/>
        </w:rPr>
        <w:t>ervices of</w:t>
      </w:r>
      <w:r w:rsidR="00835EEC">
        <w:rPr>
          <w:rFonts w:ascii="Times New Roman" w:hAnsi="Times New Roman" w:cs="Times New Roman"/>
          <w:sz w:val="24"/>
          <w:szCs w:val="24"/>
        </w:rPr>
        <w:t>fered regardless of any outcome</w:t>
      </w:r>
      <w:r w:rsidR="0011793E">
        <w:rPr>
          <w:rFonts w:ascii="Times New Roman" w:hAnsi="Times New Roman" w:cs="Times New Roman"/>
          <w:sz w:val="24"/>
          <w:szCs w:val="24"/>
        </w:rPr>
        <w:t xml:space="preserve"> (Dowd &amp; Laugesen, 2020)</w:t>
      </w:r>
      <w:r w:rsidRPr="005120B8">
        <w:rPr>
          <w:rFonts w:ascii="Times New Roman" w:hAnsi="Times New Roman" w:cs="Times New Roman"/>
          <w:sz w:val="24"/>
          <w:szCs w:val="24"/>
        </w:rPr>
        <w:t>.</w:t>
      </w:r>
      <w:r w:rsidRPr="0086462C" w:rsidR="0086462C">
        <w:t xml:space="preserve"> </w:t>
      </w:r>
      <w:r w:rsidRPr="0086462C" w:rsidR="0086462C">
        <w:rPr>
          <w:rFonts w:ascii="Times New Roman" w:hAnsi="Times New Roman" w:cs="Times New Roman"/>
          <w:sz w:val="24"/>
          <w:szCs w:val="24"/>
        </w:rPr>
        <w:t>Before the value-based care approach, the traditional medical health care coverage was a fee-for-service care plan. FFS insurance, also known as liability insurance plans, is the most expensive, notwithstanding</w:t>
      </w:r>
      <w:r w:rsidR="0011793E">
        <w:rPr>
          <w:rFonts w:ascii="Times New Roman" w:hAnsi="Times New Roman" w:cs="Times New Roman"/>
          <w:sz w:val="24"/>
          <w:szCs w:val="24"/>
        </w:rPr>
        <w:t xml:space="preserve"> </w:t>
      </w:r>
      <w:r w:rsidR="00367B27">
        <w:rPr>
          <w:rFonts w:ascii="Times New Roman" w:hAnsi="Times New Roman" w:cs="Times New Roman"/>
          <w:sz w:val="24"/>
          <w:szCs w:val="24"/>
        </w:rPr>
        <w:t>those who</w:t>
      </w:r>
      <w:r w:rsidRPr="0086462C" w:rsidR="0086462C">
        <w:rPr>
          <w:rFonts w:ascii="Times New Roman" w:hAnsi="Times New Roman" w:cs="Times New Roman"/>
          <w:sz w:val="24"/>
          <w:szCs w:val="24"/>
        </w:rPr>
        <w:t xml:space="preserve"> can afford it. It provides complete flexibility and autonomy.</w:t>
      </w:r>
      <w:r w:rsidR="0086462C">
        <w:rPr>
          <w:rFonts w:ascii="Times New Roman" w:hAnsi="Times New Roman" w:cs="Times New Roman"/>
          <w:sz w:val="24"/>
          <w:szCs w:val="24"/>
        </w:rPr>
        <w:t xml:space="preserve"> </w:t>
      </w:r>
      <w:r w:rsidRPr="0086462C" w:rsidR="0086462C">
        <w:rPr>
          <w:rFonts w:ascii="Times New Roman" w:hAnsi="Times New Roman" w:cs="Times New Roman"/>
          <w:sz w:val="24"/>
          <w:szCs w:val="24"/>
        </w:rPr>
        <w:t>FFS allows a client select their health care providers unreservedly, with hardly any involvement from the health insurer. Fee-for-service medical insurance necessitates significant out-of-pocket expenditures because patients may be obligated to pay their medical costs in advance and present bills for refund.</w:t>
      </w:r>
      <w:r w:rsidRPr="00B6365F" w:rsidR="00B6365F">
        <w:t xml:space="preserve"> </w:t>
      </w:r>
      <w:r w:rsidRPr="00B6365F" w:rsidR="00B6365F">
        <w:rPr>
          <w:rFonts w:ascii="Times New Roman" w:hAnsi="Times New Roman" w:cs="Times New Roman"/>
          <w:sz w:val="24"/>
          <w:szCs w:val="24"/>
        </w:rPr>
        <w:t xml:space="preserve">In recent years, multiple healthcare reform </w:t>
      </w:r>
      <w:r w:rsidRPr="00B6365F" w:rsidR="00B6365F">
        <w:rPr>
          <w:rFonts w:ascii="Times New Roman" w:hAnsi="Times New Roman" w:cs="Times New Roman"/>
          <w:sz w:val="24"/>
          <w:szCs w:val="24"/>
        </w:rPr>
        <w:t>reviews have called for t</w:t>
      </w:r>
      <w:r w:rsidR="00740DFC">
        <w:rPr>
          <w:rFonts w:ascii="Times New Roman" w:hAnsi="Times New Roman" w:cs="Times New Roman"/>
          <w:sz w:val="24"/>
          <w:szCs w:val="24"/>
        </w:rPr>
        <w:t xml:space="preserve">he phase-out of the FFS scheme, arguing </w:t>
      </w:r>
      <w:r w:rsidRPr="00B6365F" w:rsidR="00B6365F">
        <w:rPr>
          <w:rFonts w:ascii="Times New Roman" w:hAnsi="Times New Roman" w:cs="Times New Roman"/>
          <w:sz w:val="24"/>
          <w:szCs w:val="24"/>
        </w:rPr>
        <w:t>FFS is one of the reasons for inequitable care, increased services, and rising health insurance prices. Healthcare providers encounter hospital billing hurdles as the framework transitions from a conventional FFS method to an entirely new model of value-based treatment.</w:t>
      </w:r>
    </w:p>
    <w:p w:rsidR="00B41D99" w:rsidP="00B41D99">
      <w:pPr>
        <w:spacing w:after="0" w:line="480" w:lineRule="auto"/>
        <w:contextualSpacing/>
        <w:jc w:val="center"/>
        <w:rPr>
          <w:rFonts w:ascii="Times New Roman" w:hAnsi="Times New Roman" w:cs="Times New Roman"/>
          <w:b/>
          <w:sz w:val="24"/>
          <w:szCs w:val="24"/>
        </w:rPr>
      </w:pPr>
      <w:r w:rsidRPr="00F71D54">
        <w:rPr>
          <w:rFonts w:ascii="Times New Roman" w:hAnsi="Times New Roman" w:cs="Times New Roman"/>
          <w:b/>
          <w:sz w:val="24"/>
          <w:szCs w:val="24"/>
        </w:rPr>
        <w:t>The Advantages of FFS</w:t>
      </w:r>
    </w:p>
    <w:p w:rsidR="00B41D99" w:rsidP="001F3532">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F71D54">
        <w:rPr>
          <w:rFonts w:ascii="Times New Roman" w:hAnsi="Times New Roman" w:cs="Times New Roman"/>
          <w:sz w:val="24"/>
          <w:szCs w:val="24"/>
        </w:rPr>
        <w:t>People receive a highly prized level of care, and the practitioner can propose recommendations. Doctors can charge a decent fee for the scheme and be flexible in providing real help and suppor</w:t>
      </w:r>
      <w:r w:rsidRPr="00F71D54">
        <w:rPr>
          <w:rFonts w:ascii="Times New Roman" w:hAnsi="Times New Roman" w:cs="Times New Roman"/>
          <w:sz w:val="24"/>
          <w:szCs w:val="24"/>
        </w:rPr>
        <w:t>t to their clients.</w:t>
      </w:r>
      <w:r w:rsidRPr="00233F44">
        <w:t xml:space="preserve"> </w:t>
      </w:r>
      <w:r w:rsidRPr="00233F44">
        <w:rPr>
          <w:rFonts w:ascii="Times New Roman" w:hAnsi="Times New Roman" w:cs="Times New Roman"/>
          <w:sz w:val="24"/>
          <w:szCs w:val="24"/>
        </w:rPr>
        <w:t xml:space="preserve">Health care providers are </w:t>
      </w:r>
      <w:r w:rsidR="005E318A">
        <w:rPr>
          <w:rFonts w:ascii="Times New Roman" w:hAnsi="Times New Roman" w:cs="Times New Roman"/>
          <w:sz w:val="24"/>
          <w:szCs w:val="24"/>
        </w:rPr>
        <w:t xml:space="preserve">also </w:t>
      </w:r>
      <w:r w:rsidRPr="00233F44">
        <w:rPr>
          <w:rFonts w:ascii="Times New Roman" w:hAnsi="Times New Roman" w:cs="Times New Roman"/>
          <w:sz w:val="24"/>
          <w:szCs w:val="24"/>
        </w:rPr>
        <w:t>compensated for providing the best possible care to their patient populations per their high practice</w:t>
      </w:r>
      <w:r w:rsidR="00465E6B">
        <w:rPr>
          <w:rFonts w:ascii="Times New Roman" w:hAnsi="Times New Roman" w:cs="Times New Roman"/>
          <w:sz w:val="24"/>
          <w:szCs w:val="24"/>
        </w:rPr>
        <w:t xml:space="preserve"> (Dowd &amp; Laugesen, 2020)</w:t>
      </w:r>
      <w:r w:rsidRPr="00233F44">
        <w:rPr>
          <w:rFonts w:ascii="Times New Roman" w:hAnsi="Times New Roman" w:cs="Times New Roman"/>
          <w:sz w:val="24"/>
          <w:szCs w:val="24"/>
        </w:rPr>
        <w:t>. Furthermore, doctors can revoke fees for those unable to pay by delivering free car</w:t>
      </w:r>
      <w:r w:rsidRPr="00233F44">
        <w:rPr>
          <w:rFonts w:ascii="Times New Roman" w:hAnsi="Times New Roman" w:cs="Times New Roman"/>
          <w:sz w:val="24"/>
          <w:szCs w:val="24"/>
        </w:rPr>
        <w:t>e, covered by billing wealthy clients.</w:t>
      </w:r>
      <w:r w:rsidRPr="003C4A2A">
        <w:t xml:space="preserve"> </w:t>
      </w:r>
      <w:r>
        <w:rPr>
          <w:rFonts w:ascii="Times New Roman" w:hAnsi="Times New Roman" w:cs="Times New Roman"/>
          <w:sz w:val="24"/>
          <w:szCs w:val="24"/>
        </w:rPr>
        <w:t>Thos</w:t>
      </w:r>
      <w:r w:rsidRPr="003C4A2A">
        <w:rPr>
          <w:rFonts w:ascii="Times New Roman" w:hAnsi="Times New Roman" w:cs="Times New Roman"/>
          <w:sz w:val="24"/>
          <w:szCs w:val="24"/>
        </w:rPr>
        <w:t>e who can afford to pay can forgo huge waits, enjoy better facilities, and have healthcare access that is interpreted to be of excellent quality.</w:t>
      </w:r>
    </w:p>
    <w:p w:rsidR="00B17BAA" w:rsidP="00B17BAA">
      <w:pPr>
        <w:spacing w:after="0" w:line="480" w:lineRule="auto"/>
        <w:contextualSpacing/>
        <w:jc w:val="center"/>
        <w:rPr>
          <w:rFonts w:ascii="Times New Roman" w:hAnsi="Times New Roman" w:cs="Times New Roman"/>
          <w:b/>
          <w:sz w:val="24"/>
          <w:szCs w:val="24"/>
        </w:rPr>
      </w:pPr>
      <w:r w:rsidRPr="00B17BAA">
        <w:rPr>
          <w:rFonts w:ascii="Times New Roman" w:hAnsi="Times New Roman" w:cs="Times New Roman"/>
          <w:b/>
          <w:sz w:val="24"/>
          <w:szCs w:val="24"/>
        </w:rPr>
        <w:t>The Disadvantages of the FFS</w:t>
      </w:r>
    </w:p>
    <w:p w:rsidR="00F71D54" w:rsidRPr="00F71D54" w:rsidP="00B41D99">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B17BAA">
        <w:rPr>
          <w:rFonts w:ascii="Times New Roman" w:hAnsi="Times New Roman" w:cs="Times New Roman"/>
          <w:sz w:val="24"/>
          <w:szCs w:val="24"/>
        </w:rPr>
        <w:t xml:space="preserve">Some specialists </w:t>
      </w:r>
      <w:r w:rsidR="00465E6B">
        <w:rPr>
          <w:rFonts w:ascii="Times New Roman" w:hAnsi="Times New Roman" w:cs="Times New Roman"/>
          <w:sz w:val="24"/>
          <w:szCs w:val="24"/>
        </w:rPr>
        <w:t xml:space="preserve">like Zuvekas and Cohen (2016) </w:t>
      </w:r>
      <w:r w:rsidRPr="00B17BAA">
        <w:rPr>
          <w:rFonts w:ascii="Times New Roman" w:hAnsi="Times New Roman" w:cs="Times New Roman"/>
          <w:sz w:val="24"/>
          <w:szCs w:val="24"/>
        </w:rPr>
        <w:t>believe that the advancement of modern healthcare, the issues of the existing health framework, and the health needs of chronically ill demography have rendered fee-for-service in medical insurance obsolete. Medical advancements have jeop</w:t>
      </w:r>
      <w:r w:rsidRPr="00B17BAA">
        <w:rPr>
          <w:rFonts w:ascii="Times New Roman" w:hAnsi="Times New Roman" w:cs="Times New Roman"/>
          <w:sz w:val="24"/>
          <w:szCs w:val="24"/>
        </w:rPr>
        <w:t>ardized the FFS framework. Insurance payers have encouraged the overuse of FFS, and FFS has encouraged the lower financial obligation of both providers and clients.</w:t>
      </w:r>
      <w:r w:rsidRPr="002E532B" w:rsidR="002E532B">
        <w:t xml:space="preserve"> </w:t>
      </w:r>
      <w:r w:rsidRPr="002E532B" w:rsidR="002E532B">
        <w:rPr>
          <w:rFonts w:ascii="Times New Roman" w:hAnsi="Times New Roman" w:cs="Times New Roman"/>
          <w:sz w:val="24"/>
          <w:szCs w:val="24"/>
        </w:rPr>
        <w:t xml:space="preserve">"Pay the physician first," was the guiding principle for paying the general practitioner under the FFS model. Such was the price of the support provided for the client, and exercising caution for the unknown required again. The FFS is a framework for compensating physicians based on the level of work done. It was basic and straightforward. Then came a shift in healthcare. </w:t>
      </w:r>
      <w:r w:rsidR="005930FC">
        <w:rPr>
          <w:rFonts w:ascii="Times New Roman" w:hAnsi="Times New Roman" w:cs="Times New Roman"/>
          <w:sz w:val="24"/>
          <w:szCs w:val="24"/>
        </w:rPr>
        <w:t>In the l</w:t>
      </w:r>
      <w:r w:rsidRPr="002E532B" w:rsidR="002E532B">
        <w:rPr>
          <w:rFonts w:ascii="Times New Roman" w:hAnsi="Times New Roman" w:cs="Times New Roman"/>
          <w:sz w:val="24"/>
          <w:szCs w:val="24"/>
        </w:rPr>
        <w:t xml:space="preserve">ast century, practitioners billed what they thought their offerings were worth, and clients </w:t>
      </w:r>
      <w:r w:rsidRPr="002E532B" w:rsidR="002E532B">
        <w:rPr>
          <w:rFonts w:ascii="Times New Roman" w:hAnsi="Times New Roman" w:cs="Times New Roman"/>
          <w:sz w:val="24"/>
          <w:szCs w:val="24"/>
        </w:rPr>
        <w:t>compensated them, resulting in more lavish healthcare spending because practitioners charged what they thought was proper.</w:t>
      </w:r>
      <w:r w:rsidRPr="00F71D54">
        <w:t xml:space="preserve"> </w:t>
      </w:r>
      <w:r w:rsidRPr="00F71D54">
        <w:rPr>
          <w:rFonts w:ascii="Times New Roman" w:hAnsi="Times New Roman" w:cs="Times New Roman"/>
          <w:sz w:val="24"/>
          <w:szCs w:val="24"/>
        </w:rPr>
        <w:t>Fee-for-serv</w:t>
      </w:r>
      <w:r w:rsidRPr="00F71D54">
        <w:rPr>
          <w:rFonts w:ascii="Times New Roman" w:hAnsi="Times New Roman" w:cs="Times New Roman"/>
          <w:sz w:val="24"/>
          <w:szCs w:val="24"/>
        </w:rPr>
        <w:t>ice payment offers almost no incentive to provide comprehensive and value-based treatment. It motivates doctors to request unneeded examinations to increase their revenue and start practicing preventive care.</w:t>
      </w:r>
    </w:p>
    <w:p w:rsidR="000C34AF" w:rsidP="00C20908">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C20908">
        <w:rPr>
          <w:rFonts w:ascii="Times New Roman" w:hAnsi="Times New Roman" w:cs="Times New Roman"/>
          <w:sz w:val="24"/>
          <w:szCs w:val="24"/>
        </w:rPr>
        <w:t>The fee-for-service method has come under fire</w:t>
      </w:r>
      <w:r w:rsidRPr="00C20908">
        <w:rPr>
          <w:rFonts w:ascii="Times New Roman" w:hAnsi="Times New Roman" w:cs="Times New Roman"/>
          <w:sz w:val="24"/>
          <w:szCs w:val="24"/>
        </w:rPr>
        <w:t xml:space="preserve"> for excessive usage of solutions and overstretched third-party insurers such as healthcare companies or government assistance initiatives</w:t>
      </w:r>
      <w:r w:rsidR="00465E6B">
        <w:rPr>
          <w:rFonts w:ascii="Times New Roman" w:hAnsi="Times New Roman" w:cs="Times New Roman"/>
          <w:sz w:val="24"/>
          <w:szCs w:val="24"/>
        </w:rPr>
        <w:t xml:space="preserve"> (Zuvekas &amp; Cohen, 2016)</w:t>
      </w:r>
      <w:r w:rsidRPr="00C20908">
        <w:rPr>
          <w:rFonts w:ascii="Times New Roman" w:hAnsi="Times New Roman" w:cs="Times New Roman"/>
          <w:sz w:val="24"/>
          <w:szCs w:val="24"/>
        </w:rPr>
        <w:t>.</w:t>
      </w:r>
      <w:r>
        <w:rPr>
          <w:rFonts w:ascii="Times New Roman" w:hAnsi="Times New Roman" w:cs="Times New Roman"/>
          <w:sz w:val="24"/>
          <w:szCs w:val="24"/>
        </w:rPr>
        <w:t xml:space="preserve"> </w:t>
      </w:r>
      <w:r w:rsidRPr="00C20908">
        <w:rPr>
          <w:rFonts w:ascii="Times New Roman" w:hAnsi="Times New Roman" w:cs="Times New Roman"/>
          <w:sz w:val="24"/>
          <w:szCs w:val="24"/>
        </w:rPr>
        <w:t>Despite policymakers and regulatory agencies favoring a transition away from fee-for-service</w:t>
      </w:r>
      <w:r w:rsidRPr="00C20908">
        <w:rPr>
          <w:rFonts w:ascii="Times New Roman" w:hAnsi="Times New Roman" w:cs="Times New Roman"/>
          <w:sz w:val="24"/>
          <w:szCs w:val="24"/>
        </w:rPr>
        <w:t xml:space="preserve"> to a value-based model of care, it is unlikely that insurers will abandon the FFS model entirely in the long term.</w:t>
      </w:r>
    </w:p>
    <w:p w:rsidR="000C34AF" w:rsidP="000C34AF">
      <w:pPr>
        <w:spacing w:after="0" w:line="480" w:lineRule="auto"/>
        <w:contextualSpacing/>
        <w:jc w:val="center"/>
        <w:rPr>
          <w:rFonts w:ascii="Times New Roman" w:hAnsi="Times New Roman" w:cs="Times New Roman"/>
          <w:b/>
          <w:sz w:val="24"/>
          <w:szCs w:val="24"/>
        </w:rPr>
      </w:pPr>
      <w:r w:rsidRPr="000C34AF">
        <w:rPr>
          <w:rFonts w:ascii="Times New Roman" w:hAnsi="Times New Roman" w:cs="Times New Roman"/>
          <w:b/>
          <w:sz w:val="24"/>
          <w:szCs w:val="24"/>
        </w:rPr>
        <w:t>Risk Pooling</w:t>
      </w:r>
      <w:r w:rsidR="0063347F">
        <w:rPr>
          <w:rFonts w:ascii="Times New Roman" w:hAnsi="Times New Roman" w:cs="Times New Roman"/>
          <w:b/>
          <w:sz w:val="24"/>
          <w:szCs w:val="24"/>
        </w:rPr>
        <w:t xml:space="preserve"> Approach</w:t>
      </w:r>
    </w:p>
    <w:p w:rsidR="00AC1BA0" w:rsidP="000C34AF">
      <w:pPr>
        <w:spacing w:after="0" w:line="480" w:lineRule="auto"/>
        <w:contextualSpacing/>
      </w:pPr>
      <w:r>
        <w:rPr>
          <w:rFonts w:ascii="Times New Roman" w:hAnsi="Times New Roman" w:cs="Times New Roman"/>
          <w:b/>
          <w:sz w:val="24"/>
          <w:szCs w:val="24"/>
        </w:rPr>
        <w:tab/>
      </w:r>
      <w:r w:rsidR="00835536">
        <w:rPr>
          <w:rFonts w:ascii="Times New Roman" w:hAnsi="Times New Roman" w:cs="Times New Roman"/>
          <w:sz w:val="24"/>
          <w:szCs w:val="24"/>
        </w:rPr>
        <w:t>According to Ahangar et al. (2018), risk p</w:t>
      </w:r>
      <w:r w:rsidRPr="00AC1BA0">
        <w:rPr>
          <w:rFonts w:ascii="Times New Roman" w:hAnsi="Times New Roman" w:cs="Times New Roman"/>
          <w:sz w:val="24"/>
          <w:szCs w:val="24"/>
        </w:rPr>
        <w:t xml:space="preserve">ooling </w:t>
      </w:r>
      <w:r w:rsidR="00835536">
        <w:rPr>
          <w:rFonts w:ascii="Times New Roman" w:hAnsi="Times New Roman" w:cs="Times New Roman"/>
          <w:sz w:val="24"/>
          <w:szCs w:val="24"/>
        </w:rPr>
        <w:t xml:space="preserve">in healthcare coverage </w:t>
      </w:r>
      <w:r w:rsidRPr="00AC1BA0">
        <w:rPr>
          <w:rFonts w:ascii="Times New Roman" w:hAnsi="Times New Roman" w:cs="Times New Roman"/>
          <w:sz w:val="24"/>
          <w:szCs w:val="24"/>
        </w:rPr>
        <w:t xml:space="preserve">guarantees that the vulnerability of funding </w:t>
      </w:r>
      <w:r w:rsidRPr="00AC1BA0">
        <w:rPr>
          <w:rFonts w:ascii="Times New Roman" w:hAnsi="Times New Roman" w:cs="Times New Roman"/>
          <w:sz w:val="24"/>
          <w:szCs w:val="24"/>
        </w:rPr>
        <w:t>treatment programs is shared by all pool participants rather than being borne independently by every subscriber. Its primary aim is to share the potential losses linked to health treatments with unsure needs.</w:t>
      </w:r>
      <w:r w:rsidRPr="000C34AF">
        <w:rPr>
          <w:rFonts w:ascii="Times New Roman" w:hAnsi="Times New Roman" w:cs="Times New Roman"/>
          <w:sz w:val="24"/>
          <w:szCs w:val="24"/>
        </w:rPr>
        <w:t xml:space="preserve"> The aspect of risk pooling is central to the he</w:t>
      </w:r>
      <w:r w:rsidRPr="000C34AF">
        <w:rPr>
          <w:rFonts w:ascii="Times New Roman" w:hAnsi="Times New Roman" w:cs="Times New Roman"/>
          <w:sz w:val="24"/>
          <w:szCs w:val="24"/>
        </w:rPr>
        <w:t>alth coverage idea. A health cover risk pool is a group of persons whose health care costs are merged to determine premium rates. By consolidating uncertainties, the increased costs from the less healthy can be counterbalanced by the relatively lower price</w:t>
      </w:r>
      <w:r w:rsidRPr="000C34AF">
        <w:rPr>
          <w:rFonts w:ascii="Times New Roman" w:hAnsi="Times New Roman" w:cs="Times New Roman"/>
          <w:sz w:val="24"/>
          <w:szCs w:val="24"/>
        </w:rPr>
        <w:t>s of the healthy subscribers, in either the overall plan or in a high price rating class</w:t>
      </w:r>
      <w:r w:rsidR="00835536">
        <w:rPr>
          <w:rFonts w:ascii="Times New Roman" w:hAnsi="Times New Roman" w:cs="Times New Roman"/>
          <w:sz w:val="24"/>
          <w:szCs w:val="24"/>
        </w:rPr>
        <w:t xml:space="preserve"> (</w:t>
      </w:r>
      <w:r w:rsidRPr="00835536" w:rsidR="00835536">
        <w:rPr>
          <w:rFonts w:ascii="Times New Roman" w:hAnsi="Times New Roman" w:cs="Times New Roman"/>
          <w:sz w:val="24"/>
          <w:szCs w:val="24"/>
        </w:rPr>
        <w:t>Ahangar</w:t>
      </w:r>
      <w:r w:rsidR="00835536">
        <w:rPr>
          <w:rFonts w:ascii="Times New Roman" w:hAnsi="Times New Roman" w:cs="Times New Roman"/>
          <w:sz w:val="24"/>
          <w:szCs w:val="24"/>
        </w:rPr>
        <w:t xml:space="preserve"> et al., 2018)</w:t>
      </w:r>
      <w:r w:rsidRPr="000C34AF">
        <w:rPr>
          <w:rFonts w:ascii="Times New Roman" w:hAnsi="Times New Roman" w:cs="Times New Roman"/>
          <w:sz w:val="24"/>
          <w:szCs w:val="24"/>
        </w:rPr>
        <w:t>. The wider the risk pool, overall, the far more reliable and foreseeable the insur</w:t>
      </w:r>
      <w:r w:rsidR="00D726F1">
        <w:rPr>
          <w:rFonts w:ascii="Times New Roman" w:hAnsi="Times New Roman" w:cs="Times New Roman"/>
          <w:sz w:val="24"/>
          <w:szCs w:val="24"/>
        </w:rPr>
        <w:t>ance costs can be, and the insurance providers will have mitigated their risks.</w:t>
      </w:r>
      <w:r w:rsidRPr="00BA6DDC" w:rsidR="00BA6DDC">
        <w:t xml:space="preserve"> </w:t>
      </w:r>
    </w:p>
    <w:p w:rsidR="000C34AF" w:rsidP="00AC1BA0">
      <w:pPr>
        <w:spacing w:after="0" w:line="480" w:lineRule="auto"/>
        <w:ind w:firstLine="720"/>
        <w:contextualSpacing/>
        <w:rPr>
          <w:rFonts w:ascii="Times New Roman" w:hAnsi="Times New Roman" w:cs="Times New Roman"/>
          <w:sz w:val="24"/>
          <w:szCs w:val="24"/>
        </w:rPr>
      </w:pPr>
      <w:r w:rsidRPr="00BA6DDC">
        <w:rPr>
          <w:rFonts w:ascii="Times New Roman" w:hAnsi="Times New Roman" w:cs="Times New Roman"/>
          <w:sz w:val="24"/>
          <w:szCs w:val="24"/>
        </w:rPr>
        <w:t>Even though big risk pools are generally stable, a significant risk pool often does not imply cheaper insurance. The typical health spending of the pool's subscribers is the most crucial component. Just like a pool of healthy individuals</w:t>
      </w:r>
      <w:r w:rsidRPr="00BA6DDC">
        <w:rPr>
          <w:rFonts w:ascii="Times New Roman" w:hAnsi="Times New Roman" w:cs="Times New Roman"/>
          <w:sz w:val="24"/>
          <w:szCs w:val="24"/>
        </w:rPr>
        <w:t xml:space="preserve"> can lead to lower-than-average health care costs, a significant proportion with a high proportion of high-risk populations can lead to higher health care insurance costs.</w:t>
      </w:r>
      <w:r w:rsidRPr="000732C9" w:rsidR="000732C9">
        <w:t xml:space="preserve"> </w:t>
      </w:r>
      <w:r w:rsidRPr="000732C9" w:rsidR="000732C9">
        <w:rPr>
          <w:rFonts w:ascii="Times New Roman" w:hAnsi="Times New Roman" w:cs="Times New Roman"/>
          <w:sz w:val="24"/>
          <w:szCs w:val="24"/>
        </w:rPr>
        <w:t xml:space="preserve">Pooling structures open up the possibility of redistributionist healthcare expenditures on the insurer's part. </w:t>
      </w:r>
      <w:r w:rsidR="00835536">
        <w:rPr>
          <w:rFonts w:ascii="Times New Roman" w:hAnsi="Times New Roman" w:cs="Times New Roman"/>
          <w:sz w:val="24"/>
          <w:szCs w:val="24"/>
        </w:rPr>
        <w:t>According to Ahangar et al. (2018), t</w:t>
      </w:r>
      <w:r w:rsidRPr="000732C9" w:rsidR="000732C9">
        <w:rPr>
          <w:rFonts w:ascii="Times New Roman" w:hAnsi="Times New Roman" w:cs="Times New Roman"/>
          <w:sz w:val="24"/>
          <w:szCs w:val="24"/>
        </w:rPr>
        <w:t>he magnitude to which a</w:t>
      </w:r>
      <w:r w:rsidR="000732C9">
        <w:rPr>
          <w:rFonts w:ascii="Times New Roman" w:hAnsi="Times New Roman" w:cs="Times New Roman"/>
          <w:sz w:val="24"/>
          <w:szCs w:val="24"/>
        </w:rPr>
        <w:t xml:space="preserve"> specific pooling arrangement </w:t>
      </w:r>
      <w:r w:rsidRPr="000732C9" w:rsidR="000732C9">
        <w:rPr>
          <w:rFonts w:ascii="Times New Roman" w:hAnsi="Times New Roman" w:cs="Times New Roman"/>
          <w:sz w:val="24"/>
          <w:szCs w:val="24"/>
        </w:rPr>
        <w:t>future efficiency improvements is recognized in practice as determined by its engagement and consistency with other health care financing capabilities. The capabilities include raising revenue and making purchases, including links between subs</w:t>
      </w:r>
      <w:r w:rsidR="00E54B60">
        <w:rPr>
          <w:rFonts w:ascii="Times New Roman" w:hAnsi="Times New Roman" w:cs="Times New Roman"/>
          <w:sz w:val="24"/>
          <w:szCs w:val="24"/>
        </w:rPr>
        <w:t>cribers and services benefiting</w:t>
      </w:r>
      <w:r w:rsidR="000732C9">
        <w:rPr>
          <w:rFonts w:ascii="Times New Roman" w:hAnsi="Times New Roman" w:cs="Times New Roman"/>
          <w:sz w:val="24"/>
          <w:szCs w:val="24"/>
        </w:rPr>
        <w:t xml:space="preserve"> communities they cover.</w:t>
      </w:r>
    </w:p>
    <w:p w:rsidR="00137560" w:rsidP="000C34A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137560">
        <w:rPr>
          <w:rFonts w:ascii="Times New Roman" w:hAnsi="Times New Roman" w:cs="Times New Roman"/>
          <w:sz w:val="24"/>
          <w:szCs w:val="24"/>
        </w:rPr>
        <w:t>Improving fairness in service use and financial assistance necessitates broadening risk po</w:t>
      </w:r>
      <w:r w:rsidRPr="00137560">
        <w:rPr>
          <w:rFonts w:ascii="Times New Roman" w:hAnsi="Times New Roman" w:cs="Times New Roman"/>
          <w:sz w:val="24"/>
          <w:szCs w:val="24"/>
        </w:rPr>
        <w:t>oling, which is a policy goal in itself. Risk pooling essentially implies that the healthy continue to fund the ill, and the youths help finance the elderly by inference owing to reduced health concerns</w:t>
      </w:r>
      <w:r w:rsidRPr="00137560">
        <w:rPr>
          <w:rFonts w:ascii="Times New Roman" w:hAnsi="Times New Roman" w:cs="Times New Roman"/>
          <w:sz w:val="24"/>
          <w:szCs w:val="24"/>
        </w:rPr>
        <w:t xml:space="preserve">. In the absence of risk pooling, expenses for health </w:t>
      </w:r>
      <w:r w:rsidRPr="00137560">
        <w:rPr>
          <w:rFonts w:ascii="Times New Roman" w:hAnsi="Times New Roman" w:cs="Times New Roman"/>
          <w:sz w:val="24"/>
          <w:szCs w:val="24"/>
        </w:rPr>
        <w:t>care services will be directly linked to the person's medical needs, and the insurer will have to pay more since their financial risk is not adequately covered.</w:t>
      </w:r>
      <w:r w:rsidRPr="00366282" w:rsidR="00366282">
        <w:t xml:space="preserve"> </w:t>
      </w:r>
      <w:r w:rsidR="000A4B1B">
        <w:rPr>
          <w:rFonts w:ascii="Times New Roman" w:hAnsi="Times New Roman" w:cs="Times New Roman"/>
          <w:sz w:val="24"/>
          <w:szCs w:val="24"/>
        </w:rPr>
        <w:t>Risk pooling</w:t>
      </w:r>
      <w:r w:rsidRPr="00366282" w:rsidR="00366282">
        <w:rPr>
          <w:rFonts w:ascii="Times New Roman" w:hAnsi="Times New Roman" w:cs="Times New Roman"/>
          <w:sz w:val="24"/>
          <w:szCs w:val="24"/>
        </w:rPr>
        <w:t xml:space="preserve"> is </w:t>
      </w:r>
      <w:r w:rsidRPr="00366282" w:rsidR="00835536">
        <w:rPr>
          <w:rFonts w:ascii="Times New Roman" w:hAnsi="Times New Roman" w:cs="Times New Roman"/>
          <w:sz w:val="24"/>
          <w:szCs w:val="24"/>
        </w:rPr>
        <w:t>useful</w:t>
      </w:r>
      <w:r w:rsidRPr="00366282" w:rsidR="00366282">
        <w:rPr>
          <w:rFonts w:ascii="Times New Roman" w:hAnsi="Times New Roman" w:cs="Times New Roman"/>
          <w:sz w:val="24"/>
          <w:szCs w:val="24"/>
        </w:rPr>
        <w:t xml:space="preserve"> since health care costs are generally unpredictable and, at times, prohibitively expensive. Individuals cannot predict when they will become ill and require medical attention. Whe</w:t>
      </w:r>
      <w:r w:rsidR="000A4B1B">
        <w:rPr>
          <w:rFonts w:ascii="Times New Roman" w:hAnsi="Times New Roman" w:cs="Times New Roman"/>
          <w:sz w:val="24"/>
          <w:szCs w:val="24"/>
        </w:rPr>
        <w:t>n this occurs, the fees of medical</w:t>
      </w:r>
      <w:r w:rsidRPr="00366282" w:rsidR="00366282">
        <w:rPr>
          <w:rFonts w:ascii="Times New Roman" w:hAnsi="Times New Roman" w:cs="Times New Roman"/>
          <w:sz w:val="24"/>
          <w:szCs w:val="24"/>
        </w:rPr>
        <w:t xml:space="preserve"> care </w:t>
      </w:r>
      <w:r w:rsidR="00BB67E6">
        <w:rPr>
          <w:rFonts w:ascii="Times New Roman" w:hAnsi="Times New Roman" w:cs="Times New Roman"/>
          <w:sz w:val="24"/>
          <w:szCs w:val="24"/>
        </w:rPr>
        <w:t>can be substantial. In addition, risk-pooling</w:t>
      </w:r>
      <w:r w:rsidRPr="00366282" w:rsidR="00366282">
        <w:rPr>
          <w:rFonts w:ascii="Times New Roman" w:hAnsi="Times New Roman" w:cs="Times New Roman"/>
          <w:sz w:val="24"/>
          <w:szCs w:val="24"/>
        </w:rPr>
        <w:t xml:space="preserve"> increases the chances of those in need of medical services to access them at a reasonable cost and in a timely fashion. It enables the transfer of funds from the healthy to the ill. </w:t>
      </w:r>
      <w:r w:rsidR="001F3532">
        <w:rPr>
          <w:rFonts w:ascii="Times New Roman" w:hAnsi="Times New Roman" w:cs="Times New Roman"/>
          <w:sz w:val="24"/>
          <w:szCs w:val="24"/>
        </w:rPr>
        <w:t>According to Bazyar et al. (2016), a</w:t>
      </w:r>
      <w:r w:rsidRPr="00366282" w:rsidR="00366282">
        <w:rPr>
          <w:rFonts w:ascii="Times New Roman" w:hAnsi="Times New Roman" w:cs="Times New Roman"/>
          <w:sz w:val="24"/>
          <w:szCs w:val="24"/>
        </w:rPr>
        <w:t>mounts paid during times of excellent health can be channeled to cover medical expenses in the event of an ailment, without insurance companies using additional resources for the same according to the individual's perspective and families.</w:t>
      </w:r>
    </w:p>
    <w:p w:rsidR="001F3532" w:rsidP="00BB67E6">
      <w:pPr>
        <w:spacing w:after="0" w:line="480" w:lineRule="auto"/>
        <w:contextualSpacing/>
        <w:jc w:val="center"/>
        <w:rPr>
          <w:rFonts w:ascii="Times New Roman" w:hAnsi="Times New Roman" w:cs="Times New Roman"/>
          <w:b/>
          <w:sz w:val="24"/>
          <w:szCs w:val="24"/>
        </w:rPr>
      </w:pPr>
    </w:p>
    <w:p w:rsidR="001F3532" w:rsidP="00BB67E6">
      <w:pPr>
        <w:spacing w:after="0" w:line="480" w:lineRule="auto"/>
        <w:contextualSpacing/>
        <w:jc w:val="center"/>
        <w:rPr>
          <w:rFonts w:ascii="Times New Roman" w:hAnsi="Times New Roman" w:cs="Times New Roman"/>
          <w:b/>
          <w:sz w:val="24"/>
          <w:szCs w:val="24"/>
        </w:rPr>
      </w:pPr>
    </w:p>
    <w:p w:rsidR="00BB67E6" w:rsidP="00BB67E6">
      <w:pPr>
        <w:spacing w:after="0" w:line="480" w:lineRule="auto"/>
        <w:contextualSpacing/>
        <w:jc w:val="center"/>
        <w:rPr>
          <w:rFonts w:ascii="Times New Roman" w:hAnsi="Times New Roman" w:cs="Times New Roman"/>
          <w:b/>
          <w:sz w:val="24"/>
          <w:szCs w:val="24"/>
        </w:rPr>
      </w:pPr>
      <w:r w:rsidRPr="00BB67E6">
        <w:rPr>
          <w:rFonts w:ascii="Times New Roman" w:hAnsi="Times New Roman" w:cs="Times New Roman"/>
          <w:b/>
          <w:sz w:val="24"/>
          <w:szCs w:val="24"/>
        </w:rPr>
        <w:t>Advantages of Risk Pooling</w:t>
      </w:r>
    </w:p>
    <w:p w:rsidR="003C68B5" w:rsidP="003C68B5">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C543DE" w:rsidR="00C543DE">
        <w:rPr>
          <w:rFonts w:ascii="Times New Roman" w:hAnsi="Times New Roman" w:cs="Times New Roman"/>
          <w:sz w:val="24"/>
          <w:szCs w:val="24"/>
        </w:rPr>
        <w:t>As previously stated, one of the benefits of consolidating risks is that the high prices of the less healthy can be mitigated by the significantly lower costs from contributions made by those enjoying good health, in either the overall plan or in a luxury segment. The bigger the risk pool, in particular, the more predictable and consistent the insurance costs will be.</w:t>
      </w:r>
      <w:r w:rsidR="00C543DE">
        <w:rPr>
          <w:rFonts w:ascii="Times New Roman" w:hAnsi="Times New Roman" w:cs="Times New Roman"/>
          <w:sz w:val="24"/>
          <w:szCs w:val="24"/>
        </w:rPr>
        <w:t xml:space="preserve"> </w:t>
      </w:r>
      <w:r w:rsidR="009806DF">
        <w:rPr>
          <w:rFonts w:ascii="Times New Roman" w:hAnsi="Times New Roman" w:cs="Times New Roman"/>
          <w:sz w:val="24"/>
          <w:szCs w:val="24"/>
        </w:rPr>
        <w:t>In addition to that, on the insurer’s part, risk pooling leads to reduced costs of health premiums since resources are redistributed from those who do not need them to those in urgent need without any additional expenses</w:t>
      </w:r>
      <w:r w:rsidR="001F3532">
        <w:rPr>
          <w:rFonts w:ascii="Times New Roman" w:hAnsi="Times New Roman" w:cs="Times New Roman"/>
          <w:sz w:val="24"/>
          <w:szCs w:val="24"/>
        </w:rPr>
        <w:t xml:space="preserve"> (Bazyar et al., 2016)</w:t>
      </w:r>
      <w:r w:rsidR="009806DF">
        <w:rPr>
          <w:rFonts w:ascii="Times New Roman" w:hAnsi="Times New Roman" w:cs="Times New Roman"/>
          <w:sz w:val="24"/>
          <w:szCs w:val="24"/>
        </w:rPr>
        <w:t>.</w:t>
      </w:r>
      <w:r w:rsidR="00887E4D">
        <w:rPr>
          <w:rFonts w:ascii="Times New Roman" w:hAnsi="Times New Roman" w:cs="Times New Roman"/>
          <w:sz w:val="24"/>
          <w:szCs w:val="24"/>
        </w:rPr>
        <w:t xml:space="preserve"> Another advantage on the insurance company's side is that the insured who do not necessarily need to pay the total cost of medical services may feel inclined to do so. In contrast, insurance companies will be happy to let them overuse these services. In the end, insurance companies earn more though there is the question of moral hazard to address when insurance companies make money using this method.</w:t>
      </w:r>
    </w:p>
    <w:p w:rsidR="00EC3C3E" w:rsidRPr="00EC3C3E" w:rsidP="00EC3C3E">
      <w:pPr>
        <w:spacing w:after="0" w:line="480" w:lineRule="auto"/>
        <w:contextualSpacing/>
        <w:jc w:val="center"/>
        <w:rPr>
          <w:rFonts w:ascii="Times New Roman" w:hAnsi="Times New Roman" w:cs="Times New Roman"/>
          <w:b/>
          <w:sz w:val="24"/>
          <w:szCs w:val="24"/>
        </w:rPr>
      </w:pPr>
      <w:r w:rsidRPr="00EC3C3E">
        <w:rPr>
          <w:rFonts w:ascii="Times New Roman" w:hAnsi="Times New Roman" w:cs="Times New Roman"/>
          <w:b/>
          <w:sz w:val="24"/>
          <w:szCs w:val="24"/>
        </w:rPr>
        <w:t>The Disadvantage of</w:t>
      </w:r>
      <w:r w:rsidRPr="00EC3C3E">
        <w:rPr>
          <w:rFonts w:ascii="Times New Roman" w:hAnsi="Times New Roman" w:cs="Times New Roman"/>
          <w:b/>
          <w:sz w:val="24"/>
          <w:szCs w:val="24"/>
        </w:rPr>
        <w:t xml:space="preserve"> Risk Pooling</w:t>
      </w:r>
    </w:p>
    <w:p w:rsidR="00EC3C3E" w:rsidP="003C68B5">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2D08AA" w:rsidR="002D08AA">
        <w:rPr>
          <w:rFonts w:ascii="Times New Roman" w:hAnsi="Times New Roman" w:cs="Times New Roman"/>
          <w:sz w:val="24"/>
          <w:szCs w:val="24"/>
        </w:rPr>
        <w:t>Lesser risk pools of undesirable characteristics will remain passive consumers of health services, with little power to affect provider conduct or enter into value-based agreements with health insurance companies</w:t>
      </w:r>
      <w:bookmarkStart w:id="0" w:name="_GoBack"/>
      <w:bookmarkEnd w:id="0"/>
      <w:r w:rsidRPr="002D08AA" w:rsidR="002D08AA">
        <w:rPr>
          <w:rFonts w:ascii="Times New Roman" w:hAnsi="Times New Roman" w:cs="Times New Roman"/>
          <w:sz w:val="24"/>
          <w:szCs w:val="24"/>
        </w:rPr>
        <w:t>. Also, splitting risk pools will keep creating opportunities for unjustly denying availability to prescribed minimum advantages or shifting these costs into self-insurance streams.</w:t>
      </w:r>
      <w:r w:rsidRPr="00E20C6B" w:rsidR="00E20C6B">
        <w:t xml:space="preserve"> </w:t>
      </w:r>
      <w:r w:rsidRPr="00E20C6B" w:rsidR="00E20C6B">
        <w:rPr>
          <w:rFonts w:ascii="Times New Roman" w:hAnsi="Times New Roman" w:cs="Times New Roman"/>
          <w:sz w:val="24"/>
          <w:szCs w:val="24"/>
        </w:rPr>
        <w:t>Disparate risk pools will also continue to draw adverse selection conduct from some members, who will purchase less coverage when in good health and more coverage once they are ill</w:t>
      </w:r>
      <w:r w:rsidR="001F3532">
        <w:rPr>
          <w:rFonts w:ascii="Times New Roman" w:hAnsi="Times New Roman" w:cs="Times New Roman"/>
          <w:sz w:val="24"/>
          <w:szCs w:val="24"/>
        </w:rPr>
        <w:t xml:space="preserve"> (Bazyar et al., 2016)</w:t>
      </w:r>
      <w:r w:rsidRPr="00E20C6B" w:rsidR="00E20C6B">
        <w:rPr>
          <w:rFonts w:ascii="Times New Roman" w:hAnsi="Times New Roman" w:cs="Times New Roman"/>
          <w:sz w:val="24"/>
          <w:szCs w:val="24"/>
        </w:rPr>
        <w:t>. They sign up and deactivate their beneficiaries as and when they need the health care coverage. Some healthcare arrangements will continue to ignore poor risks but only attract better risks, partly to prevent undesirable classification but to compete directly with other plans for equivalent levels of cover, thereby changing their economic placement.</w:t>
      </w:r>
    </w:p>
    <w:p w:rsidR="005120B8" w:rsidP="009938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Furthermore, </w:t>
      </w:r>
      <w:r w:rsidRPr="001F3532" w:rsidR="001F3532">
        <w:rPr>
          <w:rFonts w:ascii="Times New Roman" w:hAnsi="Times New Roman" w:cs="Times New Roman"/>
          <w:sz w:val="24"/>
          <w:szCs w:val="24"/>
        </w:rPr>
        <w:t>Ahangar et al.</w:t>
      </w:r>
      <w:r w:rsidR="001F3532">
        <w:rPr>
          <w:rFonts w:ascii="Times New Roman" w:hAnsi="Times New Roman" w:cs="Times New Roman"/>
          <w:sz w:val="24"/>
          <w:szCs w:val="24"/>
        </w:rPr>
        <w:t xml:space="preserve"> (</w:t>
      </w:r>
      <w:r w:rsidRPr="001F3532" w:rsidR="001F3532">
        <w:rPr>
          <w:rFonts w:ascii="Times New Roman" w:hAnsi="Times New Roman" w:cs="Times New Roman"/>
          <w:sz w:val="24"/>
          <w:szCs w:val="24"/>
        </w:rPr>
        <w:t>2018)</w:t>
      </w:r>
      <w:r w:rsidR="001F3532">
        <w:rPr>
          <w:rFonts w:ascii="Times New Roman" w:hAnsi="Times New Roman" w:cs="Times New Roman"/>
          <w:sz w:val="24"/>
          <w:szCs w:val="24"/>
        </w:rPr>
        <w:t xml:space="preserve"> suggest that </w:t>
      </w:r>
      <w:r>
        <w:rPr>
          <w:rFonts w:ascii="Times New Roman" w:hAnsi="Times New Roman" w:cs="Times New Roman"/>
          <w:sz w:val="24"/>
          <w:szCs w:val="24"/>
        </w:rPr>
        <w:t xml:space="preserve">depending </w:t>
      </w:r>
      <w:r>
        <w:rPr>
          <w:rFonts w:ascii="Times New Roman" w:hAnsi="Times New Roman" w:cs="Times New Roman"/>
          <w:sz w:val="24"/>
          <w:szCs w:val="24"/>
        </w:rPr>
        <w:t>on how the policy is structured, a health care insurance company might be forced to take some risks for certain pool members.</w:t>
      </w:r>
      <w:r w:rsidRPr="00F06F99" w:rsidR="00F06F99">
        <w:t xml:space="preserve"> </w:t>
      </w:r>
      <w:r w:rsidRPr="00F06F99" w:rsidR="00F06F99">
        <w:rPr>
          <w:rFonts w:ascii="Times New Roman" w:hAnsi="Times New Roman" w:cs="Times New Roman"/>
          <w:sz w:val="24"/>
          <w:szCs w:val="24"/>
        </w:rPr>
        <w:t>If an insurance company pools high-risk participants who incur additional claims, its costs will increase in the years ahead, even if no huge claims occur.</w:t>
      </w: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F3532" w:rsidP="0011793E">
      <w:pPr>
        <w:spacing w:after="0" w:line="480" w:lineRule="auto"/>
        <w:contextualSpacing/>
        <w:jc w:val="center"/>
        <w:rPr>
          <w:rFonts w:ascii="Times New Roman" w:hAnsi="Times New Roman" w:cs="Times New Roman"/>
          <w:b/>
          <w:sz w:val="24"/>
          <w:szCs w:val="24"/>
        </w:rPr>
      </w:pPr>
    </w:p>
    <w:p w:rsidR="0011793E" w:rsidP="0011793E">
      <w:pPr>
        <w:spacing w:after="0" w:line="480" w:lineRule="auto"/>
        <w:contextualSpacing/>
        <w:jc w:val="center"/>
        <w:rPr>
          <w:rFonts w:ascii="Times New Roman" w:hAnsi="Times New Roman" w:cs="Times New Roman"/>
          <w:b/>
          <w:sz w:val="24"/>
          <w:szCs w:val="24"/>
        </w:rPr>
      </w:pPr>
      <w:r w:rsidRPr="0011793E">
        <w:rPr>
          <w:rFonts w:ascii="Times New Roman" w:hAnsi="Times New Roman" w:cs="Times New Roman"/>
          <w:b/>
          <w:sz w:val="24"/>
          <w:szCs w:val="24"/>
        </w:rPr>
        <w:t>References</w:t>
      </w:r>
    </w:p>
    <w:p w:rsidR="001F3532" w:rsidP="0011793E">
      <w:pPr>
        <w:spacing w:after="0" w:line="480" w:lineRule="auto"/>
        <w:ind w:left="720" w:hanging="720"/>
        <w:contextualSpacing/>
        <w:rPr>
          <w:rFonts w:ascii="Arial" w:hAnsi="Arial" w:cs="Arial"/>
          <w:color w:val="222222"/>
          <w:sz w:val="20"/>
          <w:szCs w:val="20"/>
          <w:shd w:val="clear" w:color="auto" w:fill="FFFFFF"/>
        </w:rPr>
      </w:pPr>
      <w:r w:rsidRPr="00835536">
        <w:rPr>
          <w:rFonts w:ascii="Times New Roman" w:hAnsi="Times New Roman" w:cs="Times New Roman"/>
          <w:sz w:val="24"/>
          <w:szCs w:val="24"/>
        </w:rPr>
        <w:t>Ahangar, A., Ahmadi, A. M., Mozayani, A. H. M., &amp; Dizaji</w:t>
      </w:r>
      <w:r w:rsidRPr="00835536">
        <w:rPr>
          <w:rFonts w:ascii="Times New Roman" w:hAnsi="Times New Roman" w:cs="Times New Roman"/>
          <w:sz w:val="24"/>
          <w:szCs w:val="24"/>
        </w:rPr>
        <w:t xml:space="preserve">, S. F. (2018). Why are risk-pooling and risk-sharing arrangements necessary for financing healthcare and improving health outcomes in low and lower-middle-income countries. </w:t>
      </w:r>
      <w:r w:rsidRPr="00835536">
        <w:rPr>
          <w:rFonts w:ascii="Times New Roman" w:hAnsi="Times New Roman" w:cs="Times New Roman"/>
          <w:i/>
          <w:iCs/>
          <w:sz w:val="24"/>
          <w:szCs w:val="24"/>
        </w:rPr>
        <w:t>Health</w:t>
      </w:r>
      <w:r w:rsidRPr="00835536">
        <w:rPr>
          <w:rFonts w:ascii="Times New Roman" w:hAnsi="Times New Roman" w:cs="Times New Roman"/>
          <w:sz w:val="24"/>
          <w:szCs w:val="24"/>
        </w:rPr>
        <w:t>, </w:t>
      </w:r>
      <w:r w:rsidRPr="00835536">
        <w:rPr>
          <w:rFonts w:ascii="Times New Roman" w:hAnsi="Times New Roman" w:cs="Times New Roman"/>
          <w:i/>
          <w:iCs/>
          <w:sz w:val="24"/>
          <w:szCs w:val="24"/>
        </w:rPr>
        <w:t>10</w:t>
      </w:r>
      <w:r w:rsidRPr="00835536">
        <w:rPr>
          <w:rFonts w:ascii="Times New Roman" w:hAnsi="Times New Roman" w:cs="Times New Roman"/>
          <w:sz w:val="24"/>
          <w:szCs w:val="24"/>
        </w:rPr>
        <w:t>(01), 122.</w:t>
      </w:r>
      <w:r w:rsidRPr="001F3532">
        <w:rPr>
          <w:rFonts w:ascii="Arial" w:hAnsi="Arial" w:cs="Arial"/>
          <w:color w:val="222222"/>
          <w:sz w:val="20"/>
          <w:szCs w:val="20"/>
          <w:shd w:val="clear" w:color="auto" w:fill="FFFFFF"/>
        </w:rPr>
        <w:t xml:space="preserve"> </w:t>
      </w:r>
    </w:p>
    <w:p w:rsidR="001F3532" w:rsidRPr="0011793E" w:rsidP="0011793E">
      <w:pPr>
        <w:spacing w:after="0" w:line="480" w:lineRule="auto"/>
        <w:ind w:left="720" w:hanging="720"/>
        <w:contextualSpacing/>
        <w:rPr>
          <w:rFonts w:ascii="Times New Roman" w:hAnsi="Times New Roman" w:cs="Times New Roman"/>
          <w:sz w:val="24"/>
          <w:szCs w:val="24"/>
        </w:rPr>
      </w:pPr>
      <w:r w:rsidRPr="001F3532">
        <w:rPr>
          <w:rFonts w:ascii="Times New Roman" w:hAnsi="Times New Roman" w:cs="Times New Roman"/>
          <w:sz w:val="24"/>
          <w:szCs w:val="24"/>
        </w:rPr>
        <w:t>Bazyar, M., Rashidian, A., Kane, S., Mahdavi, M. R. V., Sari</w:t>
      </w:r>
      <w:r w:rsidRPr="001F3532">
        <w:rPr>
          <w:rFonts w:ascii="Times New Roman" w:hAnsi="Times New Roman" w:cs="Times New Roman"/>
          <w:sz w:val="24"/>
          <w:szCs w:val="24"/>
        </w:rPr>
        <w:t>, A. A., &amp; Doshmangir, L. (2016). Policy options to reduce fragmentation in the pooling of health insurance funds in Iran. </w:t>
      </w:r>
      <w:r w:rsidRPr="001F3532">
        <w:rPr>
          <w:rFonts w:ascii="Times New Roman" w:hAnsi="Times New Roman" w:cs="Times New Roman"/>
          <w:i/>
          <w:iCs/>
          <w:sz w:val="24"/>
          <w:szCs w:val="24"/>
        </w:rPr>
        <w:t>International journal of health policy and management</w:t>
      </w:r>
      <w:r w:rsidRPr="001F3532">
        <w:rPr>
          <w:rFonts w:ascii="Times New Roman" w:hAnsi="Times New Roman" w:cs="Times New Roman"/>
          <w:sz w:val="24"/>
          <w:szCs w:val="24"/>
        </w:rPr>
        <w:t>, </w:t>
      </w:r>
      <w:r w:rsidRPr="001F3532">
        <w:rPr>
          <w:rFonts w:ascii="Times New Roman" w:hAnsi="Times New Roman" w:cs="Times New Roman"/>
          <w:i/>
          <w:iCs/>
          <w:sz w:val="24"/>
          <w:szCs w:val="24"/>
        </w:rPr>
        <w:t>5</w:t>
      </w:r>
      <w:r w:rsidRPr="001F3532">
        <w:rPr>
          <w:rFonts w:ascii="Times New Roman" w:hAnsi="Times New Roman" w:cs="Times New Roman"/>
          <w:sz w:val="24"/>
          <w:szCs w:val="24"/>
        </w:rPr>
        <w:t>(4), 253.</w:t>
      </w:r>
    </w:p>
    <w:p w:rsidR="001F3532" w:rsidP="0011793E">
      <w:pPr>
        <w:spacing w:after="0" w:line="480" w:lineRule="auto"/>
        <w:ind w:left="720" w:hanging="720"/>
        <w:contextualSpacing/>
        <w:rPr>
          <w:rFonts w:ascii="Times New Roman" w:hAnsi="Times New Roman" w:cs="Times New Roman"/>
          <w:sz w:val="24"/>
          <w:szCs w:val="24"/>
        </w:rPr>
      </w:pPr>
      <w:r w:rsidRPr="0011793E">
        <w:rPr>
          <w:rFonts w:ascii="Times New Roman" w:hAnsi="Times New Roman" w:cs="Times New Roman"/>
          <w:sz w:val="24"/>
          <w:szCs w:val="24"/>
        </w:rPr>
        <w:t>Dorn, S. (2017). Stabilizing the Individual Health Insurance Market</w:t>
      </w:r>
      <w:r w:rsidRPr="0011793E">
        <w:rPr>
          <w:rFonts w:ascii="Times New Roman" w:hAnsi="Times New Roman" w:cs="Times New Roman"/>
          <w:sz w:val="24"/>
          <w:szCs w:val="24"/>
        </w:rPr>
        <w:t>: What is the Role for Risk Adjustment and Risk Mitigation?</w:t>
      </w:r>
    </w:p>
    <w:p w:rsidR="001F3532" w:rsidP="0011793E">
      <w:pPr>
        <w:spacing w:after="0" w:line="480" w:lineRule="auto"/>
        <w:ind w:left="720" w:hanging="720"/>
        <w:contextualSpacing/>
        <w:rPr>
          <w:rFonts w:ascii="Arial" w:hAnsi="Arial" w:cs="Arial"/>
          <w:color w:val="222222"/>
          <w:sz w:val="20"/>
          <w:szCs w:val="20"/>
          <w:shd w:val="clear" w:color="auto" w:fill="FFFFFF"/>
        </w:rPr>
      </w:pPr>
      <w:r w:rsidRPr="0011793E">
        <w:rPr>
          <w:rFonts w:ascii="Times New Roman" w:hAnsi="Times New Roman" w:cs="Times New Roman"/>
          <w:sz w:val="24"/>
          <w:szCs w:val="24"/>
        </w:rPr>
        <w:t>Dowd, B. E., &amp; Laugesen, M. J. (2020). Fee‐for‐service payment is not the (main) problem</w:t>
      </w:r>
      <w:r w:rsidRPr="0011793E">
        <w:rPr>
          <w:rFonts w:ascii="Times New Roman" w:hAnsi="Times New Roman" w:cs="Times New Roman"/>
          <w:i/>
          <w:iCs/>
          <w:sz w:val="24"/>
          <w:szCs w:val="24"/>
        </w:rPr>
        <w:t>: health services research</w:t>
      </w:r>
      <w:r w:rsidRPr="0011793E">
        <w:rPr>
          <w:rFonts w:ascii="Times New Roman" w:hAnsi="Times New Roman" w:cs="Times New Roman"/>
          <w:sz w:val="24"/>
          <w:szCs w:val="24"/>
        </w:rPr>
        <w:t>, </w:t>
      </w:r>
      <w:r w:rsidRPr="0011793E">
        <w:rPr>
          <w:rFonts w:ascii="Times New Roman" w:hAnsi="Times New Roman" w:cs="Times New Roman"/>
          <w:i/>
          <w:iCs/>
          <w:sz w:val="24"/>
          <w:szCs w:val="24"/>
        </w:rPr>
        <w:t>55</w:t>
      </w:r>
      <w:r w:rsidRPr="0011793E">
        <w:rPr>
          <w:rFonts w:ascii="Times New Roman" w:hAnsi="Times New Roman" w:cs="Times New Roman"/>
          <w:sz w:val="24"/>
          <w:szCs w:val="24"/>
        </w:rPr>
        <w:t>(4), 491.</w:t>
      </w:r>
      <w:r w:rsidRPr="00465E6B">
        <w:rPr>
          <w:rFonts w:ascii="Arial" w:hAnsi="Arial" w:cs="Arial"/>
          <w:color w:val="222222"/>
          <w:sz w:val="20"/>
          <w:szCs w:val="20"/>
          <w:shd w:val="clear" w:color="auto" w:fill="FFFFFF"/>
        </w:rPr>
        <w:t xml:space="preserve"> </w:t>
      </w:r>
    </w:p>
    <w:p w:rsidR="001F3532" w:rsidP="0011793E">
      <w:pPr>
        <w:spacing w:after="0" w:line="480" w:lineRule="auto"/>
        <w:ind w:left="720" w:hanging="720"/>
        <w:contextualSpacing/>
        <w:rPr>
          <w:rFonts w:ascii="Arial" w:hAnsi="Arial" w:cs="Arial"/>
          <w:color w:val="222222"/>
          <w:sz w:val="20"/>
          <w:szCs w:val="20"/>
          <w:shd w:val="clear" w:color="auto" w:fill="FFFFFF"/>
        </w:rPr>
      </w:pPr>
      <w:r w:rsidRPr="00465E6B">
        <w:rPr>
          <w:rFonts w:ascii="Times New Roman" w:hAnsi="Times New Roman" w:cs="Times New Roman"/>
          <w:sz w:val="24"/>
          <w:szCs w:val="24"/>
        </w:rPr>
        <w:t xml:space="preserve">Zuvekas, S. H., &amp; Cohen, J. W. (2016). Fee-for-service, while much </w:t>
      </w:r>
      <w:r w:rsidRPr="00465E6B">
        <w:rPr>
          <w:rFonts w:ascii="Times New Roman" w:hAnsi="Times New Roman" w:cs="Times New Roman"/>
          <w:sz w:val="24"/>
          <w:szCs w:val="24"/>
        </w:rPr>
        <w:t>maligned, remains the dominant payment method for physician visits. </w:t>
      </w:r>
      <w:r w:rsidRPr="00465E6B">
        <w:rPr>
          <w:rFonts w:ascii="Times New Roman" w:hAnsi="Times New Roman" w:cs="Times New Roman"/>
          <w:i/>
          <w:iCs/>
          <w:sz w:val="24"/>
          <w:szCs w:val="24"/>
        </w:rPr>
        <w:t>Health Affairs</w:t>
      </w:r>
      <w:r w:rsidRPr="00465E6B">
        <w:rPr>
          <w:rFonts w:ascii="Times New Roman" w:hAnsi="Times New Roman" w:cs="Times New Roman"/>
          <w:sz w:val="24"/>
          <w:szCs w:val="24"/>
        </w:rPr>
        <w:t>, </w:t>
      </w:r>
      <w:r w:rsidRPr="00465E6B">
        <w:rPr>
          <w:rFonts w:ascii="Times New Roman" w:hAnsi="Times New Roman" w:cs="Times New Roman"/>
          <w:i/>
          <w:iCs/>
          <w:sz w:val="24"/>
          <w:szCs w:val="24"/>
        </w:rPr>
        <w:t>35</w:t>
      </w:r>
      <w:r w:rsidRPr="00465E6B">
        <w:rPr>
          <w:rFonts w:ascii="Times New Roman" w:hAnsi="Times New Roman" w:cs="Times New Roman"/>
          <w:sz w:val="24"/>
          <w:szCs w:val="24"/>
        </w:rPr>
        <w:t>(3), 411-414.</w:t>
      </w:r>
      <w:r w:rsidRPr="00835536">
        <w:rPr>
          <w:rFonts w:ascii="Arial" w:hAnsi="Arial" w:cs="Arial"/>
          <w:color w:val="222222"/>
          <w:sz w:val="20"/>
          <w:szCs w:val="20"/>
          <w:shd w:val="clear" w:color="auto" w:fill="FFFFFF"/>
        </w:rPr>
        <w:t xml:space="preserve"> </w:t>
      </w:r>
    </w:p>
    <w:p w:rsidR="0011793E" w:rsidRPr="00FB0E3A" w:rsidP="0099385F">
      <w:pPr>
        <w:spacing w:after="0" w:line="480" w:lineRule="auto"/>
        <w:contextualSpacing/>
        <w:rPr>
          <w:rFonts w:ascii="Times New Roman" w:hAnsi="Times New Roman" w:cs="Times New Roman"/>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94014398"/>
      <w:docPartObj>
        <w:docPartGallery w:val="Page Numbers (Top of Page)"/>
        <w:docPartUnique/>
      </w:docPartObj>
    </w:sdtPr>
    <w:sdtEndPr>
      <w:rPr>
        <w:noProof/>
      </w:rPr>
    </w:sdtEndPr>
    <w:sdtContent>
      <w:p w:rsidR="00FB0E3A">
        <w:pPr>
          <w:pStyle w:val="Header"/>
          <w:jc w:val="right"/>
        </w:pPr>
        <w:r>
          <w:fldChar w:fldCharType="begin"/>
        </w:r>
        <w:r>
          <w:instrText xml:space="preserve"> PAGE   \* MERGEFORMAT </w:instrText>
        </w:r>
        <w:r>
          <w:fldChar w:fldCharType="separate"/>
        </w:r>
        <w:r>
          <w:rPr>
            <w:noProof/>
          </w:rPr>
          <w:t>7</w:t>
        </w:r>
        <w:r>
          <w:rPr>
            <w:noProof/>
          </w:rPr>
          <w:fldChar w:fldCharType="end"/>
        </w:r>
      </w:p>
    </w:sdtContent>
  </w:sdt>
  <w:p w:rsidR="00FB0E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E3A"/>
    <w:rsid w:val="000732C9"/>
    <w:rsid w:val="000A4B1B"/>
    <w:rsid w:val="000C34AF"/>
    <w:rsid w:val="000F1020"/>
    <w:rsid w:val="00101BEF"/>
    <w:rsid w:val="001168DB"/>
    <w:rsid w:val="0011793E"/>
    <w:rsid w:val="001202A0"/>
    <w:rsid w:val="00137560"/>
    <w:rsid w:val="00156182"/>
    <w:rsid w:val="001F3532"/>
    <w:rsid w:val="00233F44"/>
    <w:rsid w:val="002A2EC2"/>
    <w:rsid w:val="002D08AA"/>
    <w:rsid w:val="002D3618"/>
    <w:rsid w:val="002E532B"/>
    <w:rsid w:val="002F41C7"/>
    <w:rsid w:val="003333EE"/>
    <w:rsid w:val="00366282"/>
    <w:rsid w:val="00367B27"/>
    <w:rsid w:val="003C4A2A"/>
    <w:rsid w:val="003C68B5"/>
    <w:rsid w:val="00441297"/>
    <w:rsid w:val="00465E6B"/>
    <w:rsid w:val="00485BA8"/>
    <w:rsid w:val="004E6152"/>
    <w:rsid w:val="004E7B23"/>
    <w:rsid w:val="005120B8"/>
    <w:rsid w:val="00553C1C"/>
    <w:rsid w:val="005930FC"/>
    <w:rsid w:val="005B31AD"/>
    <w:rsid w:val="005E318A"/>
    <w:rsid w:val="006324AF"/>
    <w:rsid w:val="0063347F"/>
    <w:rsid w:val="006943F3"/>
    <w:rsid w:val="006C1CA5"/>
    <w:rsid w:val="006E6808"/>
    <w:rsid w:val="00740DFC"/>
    <w:rsid w:val="00835536"/>
    <w:rsid w:val="00835EEC"/>
    <w:rsid w:val="0086462C"/>
    <w:rsid w:val="00887E4D"/>
    <w:rsid w:val="008A39E8"/>
    <w:rsid w:val="008B4ADF"/>
    <w:rsid w:val="009162C8"/>
    <w:rsid w:val="00933835"/>
    <w:rsid w:val="009806DF"/>
    <w:rsid w:val="0099385F"/>
    <w:rsid w:val="009B4D0C"/>
    <w:rsid w:val="009C5E82"/>
    <w:rsid w:val="00A00CF9"/>
    <w:rsid w:val="00A5662C"/>
    <w:rsid w:val="00AA7DB3"/>
    <w:rsid w:val="00AC1BA0"/>
    <w:rsid w:val="00AF09CB"/>
    <w:rsid w:val="00B17BAA"/>
    <w:rsid w:val="00B41D99"/>
    <w:rsid w:val="00B6365F"/>
    <w:rsid w:val="00BA6DDC"/>
    <w:rsid w:val="00BB67E6"/>
    <w:rsid w:val="00C20908"/>
    <w:rsid w:val="00C543DE"/>
    <w:rsid w:val="00D726F1"/>
    <w:rsid w:val="00DF31CE"/>
    <w:rsid w:val="00E20C6B"/>
    <w:rsid w:val="00E54B60"/>
    <w:rsid w:val="00E9009C"/>
    <w:rsid w:val="00E91AC9"/>
    <w:rsid w:val="00EC3C3E"/>
    <w:rsid w:val="00F06F99"/>
    <w:rsid w:val="00F71D54"/>
    <w:rsid w:val="00FB0E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3FBBCA5D-6DA3-44BD-905F-7D99F1243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E3A"/>
  </w:style>
  <w:style w:type="paragraph" w:styleId="Footer">
    <w:name w:val="footer"/>
    <w:basedOn w:val="Normal"/>
    <w:link w:val="FooterChar"/>
    <w:uiPriority w:val="99"/>
    <w:unhideWhenUsed/>
    <w:rsid w:val="00FB0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1690</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Lenovo User</cp:lastModifiedBy>
  <cp:revision>2</cp:revision>
  <dcterms:created xsi:type="dcterms:W3CDTF">2021-09-11T14:59:00Z</dcterms:created>
  <dcterms:modified xsi:type="dcterms:W3CDTF">2021-09-11T14:59:00Z</dcterms:modified>
</cp:coreProperties>
</file>